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3B" w:rsidRDefault="0099363B" w:rsidP="00905684">
      <w:pPr>
        <w:tabs>
          <w:tab w:val="left" w:pos="709"/>
          <w:tab w:val="left" w:pos="2835"/>
        </w:tabs>
        <w:overflowPunct w:val="0"/>
        <w:autoSpaceDE w:val="0"/>
        <w:autoSpaceDN w:val="0"/>
        <w:adjustRightInd w:val="0"/>
        <w:spacing w:after="0" w:line="240" w:lineRule="atLeast"/>
        <w:textAlignment w:val="baseline"/>
        <w:rPr>
          <w:rFonts w:cs="Arial"/>
          <w:b/>
          <w:color w:val="92D050"/>
          <w:sz w:val="28"/>
          <w:szCs w:val="28"/>
          <w:lang w:val="en-US"/>
        </w:rPr>
      </w:pPr>
      <w:r>
        <w:rPr>
          <w:rFonts w:cs="Arial"/>
          <w:b/>
          <w:noProof/>
          <w:color w:val="92D050"/>
          <w:sz w:val="28"/>
          <w:szCs w:val="28"/>
          <w:lang w:val="de-DE" w:eastAsia="de-DE"/>
        </w:rPr>
        <mc:AlternateContent>
          <mc:Choice Requires="wps">
            <w:drawing>
              <wp:anchor distT="0" distB="0" distL="114300" distR="114300" simplePos="0" relativeHeight="251660288" behindDoc="0" locked="0" layoutInCell="1" allowOverlap="1" wp14:anchorId="14EE20A3" wp14:editId="0E66BDEC">
                <wp:simplePos x="0" y="0"/>
                <wp:positionH relativeFrom="column">
                  <wp:posOffset>2308860</wp:posOffset>
                </wp:positionH>
                <wp:positionV relativeFrom="paragraph">
                  <wp:posOffset>205105</wp:posOffset>
                </wp:positionV>
                <wp:extent cx="3733800" cy="485775"/>
                <wp:effectExtent l="0" t="0" r="0" b="0"/>
                <wp:wrapNone/>
                <wp:docPr id="3" name="Textfeld 3"/>
                <wp:cNvGraphicFramePr/>
                <a:graphic xmlns:a="http://schemas.openxmlformats.org/drawingml/2006/main">
                  <a:graphicData uri="http://schemas.microsoft.com/office/word/2010/wordprocessingShape">
                    <wps:wsp>
                      <wps:cNvSpPr txBox="1"/>
                      <wps:spPr>
                        <a:xfrm>
                          <a:off x="0" y="0"/>
                          <a:ext cx="37338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9363B" w:rsidRPr="0099363B" w:rsidTr="003270B8">
                              <w:tc>
                                <w:tcPr>
                                  <w:tcW w:w="6379" w:type="dxa"/>
                                  <w:vAlign w:val="center"/>
                                </w:tcPr>
                                <w:p w:rsidR="0099363B" w:rsidRPr="0099363B" w:rsidRDefault="0099363B" w:rsidP="0099363B">
                                  <w:pPr>
                                    <w:pStyle w:val="Kopfzeile"/>
                                    <w:rPr>
                                      <w:b/>
                                    </w:rPr>
                                  </w:pPr>
                                  <w:r w:rsidRPr="0099363B">
                                    <w:rPr>
                                      <w:rFonts w:asciiTheme="minorHAnsi" w:eastAsia="Times New Roman" w:hAnsiTheme="minorHAnsi"/>
                                      <w:b/>
                                      <w:szCs w:val="24"/>
                                    </w:rPr>
                                    <w:t>8th Strategy Forum of the EUSBSR in Berlin 13 – 14 June</w:t>
                                  </w:r>
                                </w:p>
                              </w:tc>
                            </w:tr>
                          </w:tbl>
                          <w:p w:rsidR="0099363B" w:rsidRPr="0099363B" w:rsidRDefault="0099363B">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8pt;margin-top:16.15pt;width:294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" filled="f" stroked="f" strokeweight=".5pt">
                <v:textbox>
                  <w:txbxContent>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9363B" w:rsidRPr="0099363B" w:rsidTr="003270B8">
                        <w:tc>
                          <w:tcPr>
                            <w:tcW w:w="6379" w:type="dxa"/>
                            <w:vAlign w:val="center"/>
                          </w:tcPr>
                          <w:p w:rsidR="0099363B" w:rsidRPr="0099363B" w:rsidRDefault="0099363B" w:rsidP="0099363B">
                            <w:pPr>
                              <w:pStyle w:val="Kopfzeile"/>
                              <w:rPr>
                                <w:b/>
                              </w:rPr>
                            </w:pPr>
                            <w:r w:rsidRPr="0099363B">
                              <w:rPr>
                                <w:rFonts w:asciiTheme="minorHAnsi" w:eastAsia="Times New Roman" w:hAnsiTheme="minorHAnsi"/>
                                <w:b/>
                                <w:szCs w:val="24"/>
                              </w:rPr>
                              <w:t>8th Strategy Forum of the EUSBSR in Berlin 13 – 14 June</w:t>
                            </w:r>
                          </w:p>
                        </w:tc>
                      </w:tr>
                    </w:tbl>
                    <w:p w:rsidR="0099363B" w:rsidRPr="0099363B" w:rsidRDefault="0099363B">
                      <w:pPr>
                        <w:rPr>
                          <w:lang w:val="en-GB"/>
                        </w:rPr>
                      </w:pPr>
                    </w:p>
                  </w:txbxContent>
                </v:textbox>
              </v:shape>
            </w:pict>
          </mc:Fallback>
        </mc:AlternateContent>
      </w:r>
      <w:r>
        <w:rPr>
          <w:rFonts w:cs="Arial"/>
          <w:b/>
          <w:noProof/>
          <w:color w:val="92D050"/>
          <w:sz w:val="28"/>
          <w:szCs w:val="28"/>
          <w:lang w:val="de-DE" w:eastAsia="de-DE"/>
        </w:rPr>
        <mc:AlternateContent>
          <mc:Choice Requires="wps">
            <w:drawing>
              <wp:anchor distT="0" distB="0" distL="114300" distR="114300" simplePos="0" relativeHeight="251659264" behindDoc="0" locked="0" layoutInCell="1" allowOverlap="1" wp14:anchorId="74E4E331" wp14:editId="0BECC27E">
                <wp:simplePos x="0" y="0"/>
                <wp:positionH relativeFrom="column">
                  <wp:posOffset>-43815</wp:posOffset>
                </wp:positionH>
                <wp:positionV relativeFrom="paragraph">
                  <wp:posOffset>-484505</wp:posOffset>
                </wp:positionV>
                <wp:extent cx="1609725" cy="361950"/>
                <wp:effectExtent l="0" t="0" r="0" b="0"/>
                <wp:wrapNone/>
                <wp:docPr id="1" name="Textfeld 1"/>
                <wp:cNvGraphicFramePr/>
                <a:graphic xmlns:a="http://schemas.openxmlformats.org/drawingml/2006/main">
                  <a:graphicData uri="http://schemas.microsoft.com/office/word/2010/wordprocessingShape">
                    <wps:wsp>
                      <wps:cNvSpPr txBox="1"/>
                      <wps:spPr>
                        <a:xfrm>
                          <a:off x="0" y="0"/>
                          <a:ext cx="16097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63B" w:rsidRPr="0099363B" w:rsidRDefault="0099363B" w:rsidP="0099363B">
                            <w:pPr>
                              <w:pStyle w:val="Kopfzeile"/>
                              <w:rPr>
                                <w:rFonts w:asciiTheme="minorHAnsi" w:eastAsia="Times New Roman" w:hAnsiTheme="minorHAnsi"/>
                                <w:b/>
                                <w:szCs w:val="24"/>
                              </w:rPr>
                            </w:pPr>
                            <w:r>
                              <w:rPr>
                                <w:rFonts w:asciiTheme="minorHAnsi" w:eastAsia="Times New Roman" w:hAnsiTheme="minorHAnsi"/>
                                <w:b/>
                                <w:szCs w:val="24"/>
                              </w:rPr>
                              <w:t>Summary report</w:t>
                            </w:r>
                            <w:r w:rsidRPr="0099363B">
                              <w:rPr>
                                <w:rFonts w:asciiTheme="minorHAnsi" w:eastAsia="Times New Roman" w:hAnsiTheme="minorHAnsi"/>
                                <w:b/>
                                <w:szCs w:val="24"/>
                              </w:rPr>
                              <w:t xml:space="preserve"> </w:t>
                            </w:r>
                          </w:p>
                          <w:p w:rsidR="0099363B" w:rsidRDefault="009936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3.45pt;margin-top:-38.15pt;width:126.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" filled="f" stroked="f" strokeweight=".5pt">
                <v:textbox>
                  <w:txbxContent>
                    <w:p w:rsidR="0099363B" w:rsidRPr="0099363B" w:rsidRDefault="0099363B" w:rsidP="0099363B">
                      <w:pPr>
                        <w:pStyle w:val="Kopfzeile"/>
                        <w:rPr>
                          <w:rFonts w:asciiTheme="minorHAnsi" w:eastAsia="Times New Roman" w:hAnsiTheme="minorHAnsi"/>
                          <w:b/>
                          <w:szCs w:val="24"/>
                        </w:rPr>
                      </w:pPr>
                      <w:r>
                        <w:rPr>
                          <w:rFonts w:asciiTheme="minorHAnsi" w:eastAsia="Times New Roman" w:hAnsiTheme="minorHAnsi"/>
                          <w:b/>
                          <w:szCs w:val="24"/>
                        </w:rPr>
                        <w:t>Summary report</w:t>
                      </w:r>
                      <w:r w:rsidRPr="0099363B">
                        <w:rPr>
                          <w:rFonts w:asciiTheme="minorHAnsi" w:eastAsia="Times New Roman" w:hAnsiTheme="minorHAnsi"/>
                          <w:b/>
                          <w:szCs w:val="24"/>
                        </w:rPr>
                        <w:t xml:space="preserve"> </w:t>
                      </w:r>
                    </w:p>
                    <w:p w:rsidR="0099363B" w:rsidRDefault="0099363B"/>
                  </w:txbxContent>
                </v:textbox>
              </v:shape>
            </w:pict>
          </mc:Fallback>
        </mc:AlternateContent>
      </w:r>
      <w:r>
        <w:rPr>
          <w:rFonts w:cs="Arial"/>
          <w:b/>
          <w:noProof/>
          <w:color w:val="92D050"/>
          <w:sz w:val="28"/>
          <w:szCs w:val="28"/>
          <w:lang w:val="de-DE" w:eastAsia="de-DE"/>
        </w:rPr>
        <w:drawing>
          <wp:inline distT="0" distB="0" distL="0" distR="0" wp14:anchorId="17B6FF52">
            <wp:extent cx="1810385" cy="75628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385" cy="756285"/>
                    </a:xfrm>
                    <a:prstGeom prst="rect">
                      <a:avLst/>
                    </a:prstGeom>
                    <a:noFill/>
                  </pic:spPr>
                </pic:pic>
              </a:graphicData>
            </a:graphic>
          </wp:inline>
        </w:drawing>
      </w:r>
    </w:p>
    <w:p w:rsidR="0099363B" w:rsidRDefault="0099363B" w:rsidP="00905684">
      <w:pPr>
        <w:tabs>
          <w:tab w:val="left" w:pos="709"/>
          <w:tab w:val="left" w:pos="2835"/>
        </w:tabs>
        <w:overflowPunct w:val="0"/>
        <w:autoSpaceDE w:val="0"/>
        <w:autoSpaceDN w:val="0"/>
        <w:adjustRightInd w:val="0"/>
        <w:spacing w:after="0" w:line="240" w:lineRule="atLeast"/>
        <w:textAlignment w:val="baseline"/>
        <w:rPr>
          <w:rFonts w:cs="Arial"/>
          <w:b/>
          <w:color w:val="92D050"/>
          <w:sz w:val="28"/>
          <w:szCs w:val="28"/>
          <w:lang w:val="en-US"/>
        </w:rPr>
      </w:pPr>
    </w:p>
    <w:p w:rsidR="0099363B" w:rsidRPr="0099363B" w:rsidRDefault="00905684" w:rsidP="0099363B">
      <w:pPr>
        <w:tabs>
          <w:tab w:val="left" w:pos="709"/>
          <w:tab w:val="left" w:pos="2835"/>
        </w:tabs>
        <w:overflowPunct w:val="0"/>
        <w:autoSpaceDE w:val="0"/>
        <w:autoSpaceDN w:val="0"/>
        <w:adjustRightInd w:val="0"/>
        <w:spacing w:after="0" w:line="240" w:lineRule="atLeast"/>
        <w:jc w:val="center"/>
        <w:textAlignment w:val="baseline"/>
        <w:rPr>
          <w:rFonts w:eastAsia="Times New Roman" w:cs="Times New Roman"/>
          <w:b/>
          <w:color w:val="92D050"/>
          <w:sz w:val="24"/>
          <w:szCs w:val="24"/>
          <w:lang w:val="en-GB" w:eastAsia="zh-CN"/>
        </w:rPr>
      </w:pPr>
      <w:r w:rsidRPr="0099363B">
        <w:rPr>
          <w:rFonts w:eastAsia="Times New Roman" w:cs="Times New Roman"/>
          <w:b/>
          <w:color w:val="92D050"/>
          <w:sz w:val="24"/>
          <w:szCs w:val="24"/>
          <w:lang w:val="en-GB" w:eastAsia="zh-CN"/>
        </w:rPr>
        <w:t>Latest status of the sea revealed – what can we do about it together?</w:t>
      </w:r>
    </w:p>
    <w:p w:rsidR="0099363B" w:rsidRDefault="0099363B" w:rsidP="007172C0">
      <w:pPr>
        <w:spacing w:after="120"/>
        <w:rPr>
          <w:rFonts w:eastAsia="Times New Roman"/>
          <w:b/>
          <w:lang w:val="en-US"/>
        </w:rPr>
      </w:pPr>
    </w:p>
    <w:p w:rsidR="0099363B" w:rsidRPr="0099363B" w:rsidRDefault="0099363B" w:rsidP="0099363B">
      <w:pPr>
        <w:tabs>
          <w:tab w:val="left" w:pos="709"/>
          <w:tab w:val="left" w:pos="2835"/>
        </w:tabs>
        <w:overflowPunct w:val="0"/>
        <w:autoSpaceDE w:val="0"/>
        <w:autoSpaceDN w:val="0"/>
        <w:spacing w:line="240" w:lineRule="atLeast"/>
        <w:textAlignment w:val="baseline"/>
        <w:rPr>
          <w:rFonts w:eastAsia="Times New Roman"/>
          <w:szCs w:val="24"/>
        </w:rPr>
      </w:pPr>
      <w:r w:rsidRPr="000A0F1C">
        <w:rPr>
          <w:rFonts w:eastAsia="Times New Roman"/>
          <w:b/>
          <w:szCs w:val="24"/>
        </w:rPr>
        <w:t xml:space="preserve">Time: </w:t>
      </w:r>
      <w:r w:rsidRPr="000A0F1C">
        <w:rPr>
          <w:rFonts w:eastAsia="Times New Roman"/>
          <w:b/>
          <w:szCs w:val="24"/>
        </w:rPr>
        <w:tab/>
      </w:r>
      <w:proofErr w:type="spellStart"/>
      <w:r>
        <w:rPr>
          <w:rFonts w:eastAsia="Times New Roman"/>
          <w:szCs w:val="24"/>
        </w:rPr>
        <w:t>Tuesday</w:t>
      </w:r>
      <w:proofErr w:type="spellEnd"/>
      <w:r>
        <w:rPr>
          <w:rFonts w:eastAsia="Times New Roman"/>
          <w:szCs w:val="24"/>
        </w:rPr>
        <w:t xml:space="preserve">, 13 </w:t>
      </w:r>
      <w:proofErr w:type="spellStart"/>
      <w:r>
        <w:rPr>
          <w:rFonts w:eastAsia="Times New Roman"/>
          <w:szCs w:val="24"/>
        </w:rPr>
        <w:t>June</w:t>
      </w:r>
      <w:proofErr w:type="spellEnd"/>
      <w:r>
        <w:rPr>
          <w:rFonts w:eastAsia="Times New Roman"/>
          <w:szCs w:val="24"/>
        </w:rPr>
        <w:t>, 15:1</w:t>
      </w:r>
      <w:r w:rsidRPr="000A0F1C">
        <w:rPr>
          <w:rFonts w:eastAsia="Times New Roman"/>
          <w:szCs w:val="24"/>
        </w:rPr>
        <w:t xml:space="preserve">5 to 16:45 </w:t>
      </w:r>
      <w:proofErr w:type="spellStart"/>
      <w:r w:rsidRPr="000A0F1C">
        <w:rPr>
          <w:rFonts w:eastAsia="Times New Roman"/>
          <w:szCs w:val="24"/>
        </w:rPr>
        <w:t>hours</w:t>
      </w:r>
      <w:proofErr w:type="spellEnd"/>
      <w:r>
        <w:rPr>
          <w:rFonts w:eastAsia="Times New Roman"/>
          <w:szCs w:val="24"/>
        </w:rPr>
        <w:t xml:space="preserve">, </w:t>
      </w:r>
      <w:proofErr w:type="spellStart"/>
      <w:r>
        <w:rPr>
          <w:rFonts w:eastAsia="Times New Roman"/>
          <w:szCs w:val="24"/>
        </w:rPr>
        <w:t>Weltsaal</w:t>
      </w:r>
      <w:proofErr w:type="spellEnd"/>
    </w:p>
    <w:p w:rsidR="00905684" w:rsidRPr="0099363B" w:rsidRDefault="00905684" w:rsidP="007172C0">
      <w:pPr>
        <w:spacing w:after="120"/>
        <w:rPr>
          <w:lang w:val="de-DE"/>
        </w:rPr>
      </w:pPr>
      <w:r w:rsidRPr="0099363B">
        <w:rPr>
          <w:b/>
          <w:lang w:val="de-DE"/>
        </w:rPr>
        <w:t>Moderator:</w:t>
      </w:r>
      <w:r w:rsidRPr="0099363B">
        <w:rPr>
          <w:lang w:val="de-DE"/>
        </w:rPr>
        <w:t xml:space="preserve">     Michael </w:t>
      </w:r>
      <w:proofErr w:type="spellStart"/>
      <w:r w:rsidRPr="0099363B">
        <w:rPr>
          <w:lang w:val="de-DE"/>
        </w:rPr>
        <w:t>Gilek</w:t>
      </w:r>
      <w:proofErr w:type="spellEnd"/>
      <w:r w:rsidRPr="0099363B">
        <w:rPr>
          <w:lang w:val="de-DE"/>
        </w:rPr>
        <w:t xml:space="preserve">, </w:t>
      </w:r>
      <w:proofErr w:type="spellStart"/>
      <w:r w:rsidRPr="0099363B">
        <w:rPr>
          <w:lang w:val="de-DE"/>
        </w:rPr>
        <w:t>Södertörn</w:t>
      </w:r>
      <w:proofErr w:type="spellEnd"/>
      <w:r w:rsidRPr="0099363B">
        <w:rPr>
          <w:lang w:val="de-DE"/>
        </w:rPr>
        <w:t xml:space="preserve"> University, </w:t>
      </w:r>
      <w:proofErr w:type="spellStart"/>
      <w:r w:rsidRPr="0099363B">
        <w:rPr>
          <w:lang w:val="de-DE"/>
        </w:rPr>
        <w:t>Sweden</w:t>
      </w:r>
      <w:proofErr w:type="spellEnd"/>
    </w:p>
    <w:p w:rsidR="00905684" w:rsidRPr="00905684" w:rsidRDefault="00905684" w:rsidP="00D97E20">
      <w:pPr>
        <w:spacing w:after="120"/>
        <w:rPr>
          <w:lang w:val="en-US"/>
        </w:rPr>
      </w:pPr>
      <w:r w:rsidRPr="00905684">
        <w:rPr>
          <w:b/>
          <w:lang w:val="en-US"/>
        </w:rPr>
        <w:t>1st panelists:</w:t>
      </w:r>
      <w:r>
        <w:rPr>
          <w:lang w:val="en-US"/>
        </w:rPr>
        <w:t xml:space="preserve"> </w:t>
      </w:r>
      <w:r>
        <w:rPr>
          <w:lang w:val="en-US"/>
        </w:rPr>
        <w:tab/>
      </w:r>
      <w:proofErr w:type="spellStart"/>
      <w:r w:rsidRPr="00905684">
        <w:rPr>
          <w:lang w:val="en-US"/>
        </w:rPr>
        <w:t>Erja</w:t>
      </w:r>
      <w:proofErr w:type="spellEnd"/>
      <w:r w:rsidRPr="00905684">
        <w:rPr>
          <w:lang w:val="en-US"/>
        </w:rPr>
        <w:t xml:space="preserve"> Tikka, Ministry for Foreign Affairs, Finland</w:t>
      </w:r>
    </w:p>
    <w:p w:rsidR="00905684" w:rsidRPr="00905684" w:rsidRDefault="00905684" w:rsidP="00D97E20">
      <w:pPr>
        <w:spacing w:after="120"/>
        <w:rPr>
          <w:lang w:val="en-US"/>
        </w:rPr>
      </w:pPr>
      <w:r w:rsidRPr="00905684">
        <w:rPr>
          <w:lang w:val="en-US"/>
        </w:rPr>
        <w:t xml:space="preserve">    </w:t>
      </w:r>
      <w:r>
        <w:rPr>
          <w:lang w:val="en-US"/>
        </w:rPr>
        <w:tab/>
      </w:r>
      <w:r w:rsidRPr="00905684">
        <w:rPr>
          <w:lang w:val="en-US"/>
        </w:rPr>
        <w:t>Thomas Johansson, Swedish Agency for Marine and Water Management</w:t>
      </w:r>
    </w:p>
    <w:p w:rsidR="00905684" w:rsidRPr="00905684" w:rsidRDefault="00905684" w:rsidP="00D97E20">
      <w:pPr>
        <w:spacing w:after="120"/>
        <w:ind w:left="1304"/>
        <w:rPr>
          <w:lang w:val="en-US"/>
        </w:rPr>
      </w:pPr>
      <w:r w:rsidRPr="00905684">
        <w:rPr>
          <w:lang w:val="en-US"/>
        </w:rPr>
        <w:t>Monika Luxem-Fritsch, Federal Ministry for the Environment, Nature Conservation, Building and Nuclear Safety, Germany</w:t>
      </w:r>
    </w:p>
    <w:p w:rsidR="00905684" w:rsidRPr="00905684" w:rsidRDefault="00905684" w:rsidP="00D97E20">
      <w:pPr>
        <w:spacing w:after="120"/>
        <w:rPr>
          <w:lang w:val="en-US"/>
        </w:rPr>
      </w:pPr>
      <w:r w:rsidRPr="00905684">
        <w:rPr>
          <w:lang w:val="en-US"/>
        </w:rPr>
        <w:t xml:space="preserve">    </w:t>
      </w:r>
      <w:r>
        <w:rPr>
          <w:lang w:val="en-US"/>
        </w:rPr>
        <w:tab/>
      </w:r>
      <w:r w:rsidRPr="00905684">
        <w:rPr>
          <w:lang w:val="en-US"/>
        </w:rPr>
        <w:t>Mikhail Durkin, Coalition Clean Baltic</w:t>
      </w:r>
      <w:bookmarkStart w:id="0" w:name="_GoBack"/>
      <w:bookmarkEnd w:id="0"/>
    </w:p>
    <w:p w:rsidR="00905684" w:rsidRDefault="00905684" w:rsidP="00D97E20">
      <w:pPr>
        <w:spacing w:after="120"/>
        <w:rPr>
          <w:lang w:val="en-US"/>
        </w:rPr>
      </w:pPr>
      <w:r w:rsidRPr="00905684">
        <w:rPr>
          <w:b/>
          <w:lang w:val="en-US"/>
        </w:rPr>
        <w:t>2nd panelists:</w:t>
      </w:r>
      <w:r w:rsidRPr="00905684">
        <w:rPr>
          <w:lang w:val="en-US"/>
        </w:rPr>
        <w:t xml:space="preserve"> Benja</w:t>
      </w:r>
      <w:r>
        <w:rPr>
          <w:lang w:val="en-US"/>
        </w:rPr>
        <w:t>min Boteler, Ecologic Institute</w:t>
      </w:r>
    </w:p>
    <w:p w:rsidR="00905684" w:rsidRPr="00905684" w:rsidRDefault="00905684" w:rsidP="00D97E20">
      <w:pPr>
        <w:spacing w:after="120"/>
        <w:ind w:firstLine="1304"/>
        <w:rPr>
          <w:lang w:val="en-US"/>
        </w:rPr>
      </w:pPr>
      <w:r w:rsidRPr="00905684">
        <w:rPr>
          <w:lang w:val="en-US"/>
        </w:rPr>
        <w:t xml:space="preserve"> Heini Ahtiainen, HELCOM</w:t>
      </w:r>
      <w:r w:rsidR="00CD5383">
        <w:rPr>
          <w:lang w:val="en-US"/>
        </w:rPr>
        <w:t xml:space="preserve"> researcher on social and economic ana</w:t>
      </w:r>
      <w:r w:rsidR="001B3CB1">
        <w:rPr>
          <w:lang w:val="en-US"/>
        </w:rPr>
        <w:t>l</w:t>
      </w:r>
      <w:r w:rsidR="00CD5383">
        <w:rPr>
          <w:lang w:val="en-US"/>
        </w:rPr>
        <w:t>ysis</w:t>
      </w:r>
    </w:p>
    <w:p w:rsidR="00905684" w:rsidRPr="001B3CB1" w:rsidRDefault="00905684" w:rsidP="00D97E20">
      <w:pPr>
        <w:spacing w:after="120"/>
        <w:rPr>
          <w:lang w:val="en-GB"/>
        </w:rPr>
      </w:pPr>
      <w:r w:rsidRPr="001B3CB1">
        <w:rPr>
          <w:b/>
          <w:lang w:val="en-GB"/>
        </w:rPr>
        <w:t>Presenters:</w:t>
      </w:r>
      <w:r w:rsidRPr="001B3CB1">
        <w:rPr>
          <w:lang w:val="en-GB"/>
        </w:rPr>
        <w:tab/>
        <w:t xml:space="preserve"> Monika Stankiewicz, HELCOM</w:t>
      </w:r>
      <w:r w:rsidR="00CD5383" w:rsidRPr="001B3CB1">
        <w:rPr>
          <w:lang w:val="en-GB"/>
        </w:rPr>
        <w:t xml:space="preserve"> Executive Secretary</w:t>
      </w:r>
    </w:p>
    <w:p w:rsidR="00905684" w:rsidRPr="001B3CB1" w:rsidRDefault="00905684" w:rsidP="00D97E20">
      <w:pPr>
        <w:spacing w:after="120"/>
        <w:ind w:firstLine="1304"/>
        <w:rPr>
          <w:lang w:val="en-GB"/>
        </w:rPr>
      </w:pPr>
      <w:r w:rsidRPr="001B3CB1">
        <w:rPr>
          <w:lang w:val="en-GB"/>
        </w:rPr>
        <w:t xml:space="preserve"> Heini Ahtiainen, HELCOM</w:t>
      </w:r>
      <w:r w:rsidR="00CD5383">
        <w:rPr>
          <w:lang w:val="en-GB"/>
        </w:rPr>
        <w:t xml:space="preserve"> </w:t>
      </w:r>
      <w:r w:rsidR="00CD5383">
        <w:rPr>
          <w:lang w:val="en-US"/>
        </w:rPr>
        <w:t>researcher on social and economic ana</w:t>
      </w:r>
      <w:r w:rsidR="001B3CB1">
        <w:rPr>
          <w:lang w:val="en-US"/>
        </w:rPr>
        <w:t>l</w:t>
      </w:r>
      <w:r w:rsidR="00CD5383">
        <w:rPr>
          <w:lang w:val="en-US"/>
        </w:rPr>
        <w:t>ysis</w:t>
      </w:r>
    </w:p>
    <w:p w:rsidR="00905684" w:rsidRPr="00905684" w:rsidRDefault="00905684" w:rsidP="0099363B">
      <w:pPr>
        <w:spacing w:after="80"/>
        <w:jc w:val="both"/>
        <w:rPr>
          <w:rFonts w:eastAsia="Calibri" w:cs="Arial"/>
          <w:lang w:val="en-US"/>
        </w:rPr>
      </w:pPr>
      <w:r>
        <w:rPr>
          <w:rFonts w:eastAsia="Calibri" w:cs="Arial"/>
          <w:lang w:val="en-US"/>
        </w:rPr>
        <w:t xml:space="preserve">The HELCOM seminar “Latest status of the sea revealed – what can we do about it together?” focused on the first results of the </w:t>
      </w:r>
      <w:r w:rsidRPr="00A07F2D">
        <w:rPr>
          <w:rFonts w:eastAsia="Calibri" w:cs="Arial"/>
          <w:lang w:val="en-US"/>
        </w:rPr>
        <w:t>HELCOM State of the Baltic Sea report</w:t>
      </w:r>
      <w:r>
        <w:rPr>
          <w:rFonts w:eastAsia="Calibri" w:cs="Arial"/>
          <w:lang w:val="en-US"/>
        </w:rPr>
        <w:t xml:space="preserve"> </w:t>
      </w:r>
      <w:r w:rsidR="00CD5383">
        <w:rPr>
          <w:rFonts w:eastAsia="Calibri" w:cs="Arial"/>
          <w:lang w:val="en-US"/>
        </w:rPr>
        <w:t xml:space="preserve">(First version 2017, to be updated in 2018) </w:t>
      </w:r>
      <w:r>
        <w:rPr>
          <w:rFonts w:eastAsia="Calibri" w:cs="Arial"/>
          <w:lang w:val="en-US"/>
        </w:rPr>
        <w:t xml:space="preserve">and its connectivity with other policies and initiatives. The report </w:t>
      </w:r>
      <w:r w:rsidRPr="00A07F2D">
        <w:rPr>
          <w:rFonts w:eastAsia="Calibri" w:cs="Arial"/>
          <w:lang w:val="en-US"/>
        </w:rPr>
        <w:t>provide</w:t>
      </w:r>
      <w:r>
        <w:rPr>
          <w:rFonts w:eastAsia="Calibri" w:cs="Arial"/>
          <w:lang w:val="en-US"/>
        </w:rPr>
        <w:t>s</w:t>
      </w:r>
      <w:r w:rsidRPr="00A07F2D">
        <w:rPr>
          <w:rFonts w:eastAsia="Calibri" w:cs="Arial"/>
          <w:lang w:val="en-US"/>
        </w:rPr>
        <w:t xml:space="preserve"> a holistic view on the latest status of the marine environment. The pressures and cumulative impacts from human activities and </w:t>
      </w:r>
      <w:r w:rsidR="00B73452">
        <w:rPr>
          <w:rFonts w:eastAsia="Calibri" w:cs="Arial"/>
          <w:lang w:val="en-US"/>
        </w:rPr>
        <w:t>the economic and social contribution of the marine environment to society</w:t>
      </w:r>
      <w:r w:rsidRPr="00A07F2D">
        <w:rPr>
          <w:rFonts w:eastAsia="Calibri" w:cs="Arial"/>
          <w:lang w:val="en-US"/>
        </w:rPr>
        <w:t xml:space="preserve"> in the whole Baltic Sea </w:t>
      </w:r>
      <w:r w:rsidR="00B73452">
        <w:rPr>
          <w:rFonts w:eastAsia="Calibri" w:cs="Arial"/>
          <w:lang w:val="en-US"/>
        </w:rPr>
        <w:t xml:space="preserve">region </w:t>
      </w:r>
      <w:r w:rsidRPr="00A07F2D">
        <w:rPr>
          <w:rFonts w:eastAsia="Calibri" w:cs="Arial"/>
          <w:lang w:val="en-US"/>
        </w:rPr>
        <w:t xml:space="preserve">are also assessed. </w:t>
      </w:r>
      <w:r w:rsidRPr="001A504B">
        <w:rPr>
          <w:rFonts w:eastAsia="Calibri" w:cs="Arial"/>
          <w:lang w:val="en-US"/>
        </w:rPr>
        <w:t xml:space="preserve">The regional report is a coordinated assessment and a major undertaking of all Baltic Sea countries. </w:t>
      </w:r>
    </w:p>
    <w:p w:rsidR="00905684" w:rsidRDefault="00905684" w:rsidP="0099363B">
      <w:pPr>
        <w:jc w:val="both"/>
        <w:rPr>
          <w:lang w:val="en-US"/>
        </w:rPr>
      </w:pPr>
      <w:r w:rsidRPr="00905684">
        <w:rPr>
          <w:lang w:val="en-US"/>
        </w:rPr>
        <w:t>In general, the first results show that, although signs of improvement in the state of the Baltic Sea are seen in some cases, the Baltic Sea Action Plan goals and ecological objectives have not yet been reached. One additional conclusion is that some</w:t>
      </w:r>
      <w:r w:rsidR="00B73452">
        <w:rPr>
          <w:lang w:val="en-US"/>
        </w:rPr>
        <w:t xml:space="preserve"> of the</w:t>
      </w:r>
      <w:r w:rsidRPr="00905684">
        <w:rPr>
          <w:lang w:val="en-US"/>
        </w:rPr>
        <w:t xml:space="preserve"> measures already put into operation have not been in place long enough to have an effect.</w:t>
      </w:r>
    </w:p>
    <w:p w:rsidR="007172C0" w:rsidRPr="008C6C7E" w:rsidRDefault="007172C0" w:rsidP="0099363B">
      <w:pPr>
        <w:spacing w:after="80"/>
        <w:jc w:val="both"/>
        <w:rPr>
          <w:rFonts w:eastAsia="Calibri" w:cs="Arial"/>
          <w:lang w:val="en-US"/>
        </w:rPr>
      </w:pPr>
      <w:r>
        <w:rPr>
          <w:lang w:val="en-US"/>
        </w:rPr>
        <w:t>The panelist</w:t>
      </w:r>
      <w:r w:rsidR="00B73452">
        <w:rPr>
          <w:lang w:val="en-US"/>
        </w:rPr>
        <w:t>s</w:t>
      </w:r>
      <w:r w:rsidR="008C6C7E">
        <w:rPr>
          <w:lang w:val="en-US"/>
        </w:rPr>
        <w:t xml:space="preserve"> agreed that the report </w:t>
      </w:r>
      <w:r w:rsidR="00B73452">
        <w:rPr>
          <w:rFonts w:eastAsia="Calibri" w:cs="Arial"/>
          <w:lang w:val="en-US"/>
        </w:rPr>
        <w:t>is useful for analyzing</w:t>
      </w:r>
      <w:r w:rsidR="008C6C7E" w:rsidRPr="001A504B">
        <w:rPr>
          <w:rFonts w:eastAsia="Calibri" w:cs="Arial"/>
          <w:lang w:val="en-US"/>
        </w:rPr>
        <w:t xml:space="preserve"> the progress </w:t>
      </w:r>
      <w:r w:rsidR="00B73452">
        <w:rPr>
          <w:rFonts w:eastAsia="Calibri" w:cs="Arial"/>
          <w:lang w:val="en-US"/>
        </w:rPr>
        <w:t>towards</w:t>
      </w:r>
      <w:r w:rsidR="008C6C7E" w:rsidRPr="001A504B">
        <w:rPr>
          <w:rFonts w:eastAsia="Calibri" w:cs="Arial"/>
          <w:lang w:val="en-US"/>
        </w:rPr>
        <w:t xml:space="preserve"> the shared goal of the HELCOM Baltic Sea Action Plan and of the EUSBSR to achieve a healthy Baltic Sea</w:t>
      </w:r>
      <w:r w:rsidR="008C6C7E">
        <w:rPr>
          <w:rFonts w:eastAsia="Calibri" w:cs="Arial"/>
          <w:lang w:val="en-US"/>
        </w:rPr>
        <w:t xml:space="preserve"> and that it</w:t>
      </w:r>
      <w:r w:rsidR="008C6C7E" w:rsidRPr="001A504B">
        <w:rPr>
          <w:rFonts w:eastAsia="Calibri" w:cs="Arial"/>
          <w:lang w:val="en-US"/>
        </w:rPr>
        <w:t xml:space="preserve"> </w:t>
      </w:r>
      <w:r w:rsidR="00CD5383">
        <w:rPr>
          <w:rFonts w:eastAsia="Calibri" w:cs="Arial"/>
          <w:lang w:val="en-US"/>
        </w:rPr>
        <w:t xml:space="preserve">can </w:t>
      </w:r>
      <w:r w:rsidR="008C6C7E" w:rsidRPr="001A504B">
        <w:rPr>
          <w:rFonts w:eastAsia="Calibri" w:cs="Arial"/>
          <w:lang w:val="en-US"/>
        </w:rPr>
        <w:t xml:space="preserve">also provide a baseline for following-up the ocean-related United Nations Sustainable Development Goals in the Baltic Sea to be achieved by 2030. </w:t>
      </w:r>
      <w:r w:rsidR="004903A4">
        <w:rPr>
          <w:rFonts w:eastAsia="Calibri" w:cs="Arial"/>
          <w:lang w:val="en-US"/>
        </w:rPr>
        <w:t xml:space="preserve">It is also of use for implementing the EU Marine Strategy Framework Directive for those countries who are EU members. </w:t>
      </w:r>
      <w:r w:rsidR="008C6C7E">
        <w:rPr>
          <w:rFonts w:eastAsia="Calibri" w:cs="Arial"/>
          <w:lang w:val="en-US"/>
        </w:rPr>
        <w:t xml:space="preserve">The panelists noted that the </w:t>
      </w:r>
      <w:r w:rsidR="00B73452">
        <w:rPr>
          <w:rFonts w:eastAsia="Calibri" w:cs="Arial"/>
          <w:lang w:val="en-US"/>
        </w:rPr>
        <w:t>HELCOM</w:t>
      </w:r>
      <w:r w:rsidR="00CD5383">
        <w:rPr>
          <w:rFonts w:eastAsia="Calibri" w:cs="Arial"/>
          <w:lang w:val="en-US"/>
        </w:rPr>
        <w:t xml:space="preserve"> </w:t>
      </w:r>
      <w:r w:rsidR="008C6C7E">
        <w:rPr>
          <w:rFonts w:eastAsia="Calibri" w:cs="Arial"/>
          <w:lang w:val="en-US"/>
        </w:rPr>
        <w:t>State of the Baltic Sea report is a</w:t>
      </w:r>
      <w:r w:rsidR="00CD5383">
        <w:rPr>
          <w:rFonts w:eastAsia="Calibri" w:cs="Arial"/>
          <w:lang w:val="en-US"/>
        </w:rPr>
        <w:t xml:space="preserve"> good</w:t>
      </w:r>
      <w:r w:rsidR="008C6C7E">
        <w:rPr>
          <w:rFonts w:eastAsia="Calibri" w:cs="Arial"/>
          <w:lang w:val="en-US"/>
        </w:rPr>
        <w:t xml:space="preserve"> example of </w:t>
      </w:r>
      <w:r w:rsidR="00CD5383">
        <w:rPr>
          <w:rFonts w:eastAsia="Calibri" w:cs="Arial"/>
          <w:lang w:val="en-US"/>
        </w:rPr>
        <w:t xml:space="preserve">collective work by the coastal countries based </w:t>
      </w:r>
      <w:r w:rsidR="00B73452">
        <w:rPr>
          <w:rFonts w:eastAsia="Calibri" w:cs="Arial"/>
          <w:lang w:val="en-US"/>
        </w:rPr>
        <w:t xml:space="preserve">on mutual </w:t>
      </w:r>
      <w:r w:rsidR="008C6C7E">
        <w:rPr>
          <w:rFonts w:eastAsia="Calibri" w:cs="Arial"/>
          <w:lang w:val="en-US"/>
        </w:rPr>
        <w:t>trust and good cooperation</w:t>
      </w:r>
      <w:r w:rsidR="00CD5383">
        <w:rPr>
          <w:rFonts w:eastAsia="Calibri" w:cs="Arial"/>
          <w:lang w:val="en-US"/>
        </w:rPr>
        <w:t>, providing a common view on the status of the sea and its transboundary problems</w:t>
      </w:r>
      <w:r w:rsidR="008C6C7E">
        <w:rPr>
          <w:rFonts w:eastAsia="Calibri" w:cs="Arial"/>
          <w:lang w:val="en-US"/>
        </w:rPr>
        <w:t>.</w:t>
      </w:r>
    </w:p>
    <w:p w:rsidR="007172C0" w:rsidRDefault="007172C0" w:rsidP="0099363B">
      <w:pPr>
        <w:jc w:val="both"/>
        <w:rPr>
          <w:lang w:val="en-US"/>
        </w:rPr>
      </w:pPr>
      <w:r>
        <w:rPr>
          <w:lang w:val="en-US"/>
        </w:rPr>
        <w:t>As for further improvements</w:t>
      </w:r>
      <w:r w:rsidR="008C6C7E">
        <w:rPr>
          <w:lang w:val="en-US"/>
        </w:rPr>
        <w:t xml:space="preserve"> to be included in</w:t>
      </w:r>
      <w:r>
        <w:rPr>
          <w:lang w:val="en-US"/>
        </w:rPr>
        <w:t xml:space="preserve"> the update of the State of the Baltic Sea report in 2018, the panelists encouraged HELCOM to fill in </w:t>
      </w:r>
      <w:r w:rsidR="008C6C7E">
        <w:rPr>
          <w:lang w:val="en-US"/>
        </w:rPr>
        <w:t xml:space="preserve">the </w:t>
      </w:r>
      <w:r>
        <w:rPr>
          <w:lang w:val="en-US"/>
        </w:rPr>
        <w:t>data gaps that are now still left in the report</w:t>
      </w:r>
      <w:r w:rsidR="00CD5383">
        <w:rPr>
          <w:lang w:val="en-US"/>
        </w:rPr>
        <w:t xml:space="preserve"> as well as add conclusions on policy response and actions to be taken to further improve the status of the Baltic Sea</w:t>
      </w:r>
      <w:r>
        <w:rPr>
          <w:lang w:val="en-US"/>
        </w:rPr>
        <w:t>.</w:t>
      </w:r>
      <w:r w:rsidR="00CD5383">
        <w:rPr>
          <w:lang w:val="en-US"/>
        </w:rPr>
        <w:t xml:space="preserve"> Further, the panelists highlighted the </w:t>
      </w:r>
      <w:r w:rsidR="004903A4">
        <w:rPr>
          <w:lang w:val="en-US"/>
        </w:rPr>
        <w:t>need</w:t>
      </w:r>
      <w:r w:rsidR="00CD5383">
        <w:rPr>
          <w:lang w:val="en-US"/>
        </w:rPr>
        <w:t xml:space="preserve"> to </w:t>
      </w:r>
      <w:r w:rsidR="00273AB2">
        <w:rPr>
          <w:lang w:val="en-US"/>
        </w:rPr>
        <w:t>increasingly address</w:t>
      </w:r>
      <w:r w:rsidR="00CD5383">
        <w:rPr>
          <w:lang w:val="en-US"/>
        </w:rPr>
        <w:t xml:space="preserve"> climate change and its implication on the marine </w:t>
      </w:r>
      <w:r w:rsidR="00273AB2">
        <w:rPr>
          <w:lang w:val="en-US"/>
        </w:rPr>
        <w:t>ecosystems and management</w:t>
      </w:r>
      <w:r w:rsidR="004903A4">
        <w:rPr>
          <w:lang w:val="en-US"/>
        </w:rPr>
        <w:t xml:space="preserve">, as well as </w:t>
      </w:r>
      <w:r w:rsidR="00B73452">
        <w:rPr>
          <w:lang w:val="en-US"/>
        </w:rPr>
        <w:t xml:space="preserve">the </w:t>
      </w:r>
      <w:r w:rsidR="004903A4">
        <w:rPr>
          <w:lang w:val="en-US"/>
        </w:rPr>
        <w:t xml:space="preserve">importance of local actions to reduce pollution and protect the Baltic Sea.  </w:t>
      </w:r>
    </w:p>
    <w:p w:rsidR="004B59CC" w:rsidRDefault="004B59CC" w:rsidP="0099363B">
      <w:pPr>
        <w:spacing w:line="240" w:lineRule="auto"/>
        <w:jc w:val="both"/>
        <w:rPr>
          <w:rFonts w:eastAsia="Calibri" w:cs="Arial"/>
          <w:lang w:val="en-US"/>
        </w:rPr>
      </w:pPr>
      <w:r>
        <w:rPr>
          <w:rFonts w:eastAsia="Calibri" w:cs="Arial"/>
          <w:lang w:val="en-US"/>
        </w:rPr>
        <w:lastRenderedPageBreak/>
        <w:t>E</w:t>
      </w:r>
      <w:r w:rsidRPr="00A07F2D">
        <w:rPr>
          <w:rFonts w:eastAsia="Calibri" w:cs="Arial"/>
          <w:lang w:val="en-US"/>
        </w:rPr>
        <w:t>conomic and social analys</w:t>
      </w:r>
      <w:r w:rsidR="00B73452">
        <w:rPr>
          <w:rFonts w:eastAsia="Calibri" w:cs="Arial"/>
          <w:lang w:val="en-US"/>
        </w:rPr>
        <w:t>e</w:t>
      </w:r>
      <w:r w:rsidRPr="00A07F2D">
        <w:rPr>
          <w:rFonts w:eastAsia="Calibri" w:cs="Arial"/>
          <w:lang w:val="en-US"/>
        </w:rPr>
        <w:t>s</w:t>
      </w:r>
      <w:r>
        <w:rPr>
          <w:rFonts w:eastAsia="Calibri" w:cs="Arial"/>
          <w:lang w:val="en-US"/>
        </w:rPr>
        <w:t xml:space="preserve"> </w:t>
      </w:r>
      <w:r w:rsidR="00B73452">
        <w:rPr>
          <w:rFonts w:eastAsia="Calibri" w:cs="Arial"/>
          <w:lang w:val="en-US"/>
        </w:rPr>
        <w:t>are</w:t>
      </w:r>
      <w:r w:rsidR="00B73452" w:rsidRPr="00A07F2D">
        <w:rPr>
          <w:rFonts w:eastAsia="Calibri" w:cs="Arial"/>
          <w:lang w:val="en-US"/>
        </w:rPr>
        <w:t xml:space="preserve"> </w:t>
      </w:r>
      <w:r w:rsidRPr="001A504B">
        <w:rPr>
          <w:rFonts w:eastAsia="Calibri" w:cs="Arial"/>
          <w:lang w:val="en-US"/>
        </w:rPr>
        <w:t xml:space="preserve">incorporated in the </w:t>
      </w:r>
      <w:r>
        <w:rPr>
          <w:rFonts w:eastAsia="Calibri" w:cs="Arial"/>
          <w:lang w:val="en-US"/>
        </w:rPr>
        <w:t>HELCOM State of the Baltic Sea</w:t>
      </w:r>
      <w:r w:rsidRPr="001A504B">
        <w:rPr>
          <w:rFonts w:eastAsia="Calibri" w:cs="Arial"/>
          <w:lang w:val="en-US"/>
        </w:rPr>
        <w:t xml:space="preserve"> report </w:t>
      </w:r>
      <w:r>
        <w:rPr>
          <w:rFonts w:eastAsia="Calibri" w:cs="Arial"/>
          <w:lang w:val="en-US"/>
        </w:rPr>
        <w:t xml:space="preserve">in this extent </w:t>
      </w:r>
      <w:r w:rsidRPr="001A504B">
        <w:rPr>
          <w:rFonts w:eastAsia="Calibri" w:cs="Arial"/>
          <w:lang w:val="en-US"/>
        </w:rPr>
        <w:t>for the first time</w:t>
      </w:r>
      <w:r w:rsidRPr="00A07F2D">
        <w:rPr>
          <w:rFonts w:eastAsia="Calibri" w:cs="Arial"/>
          <w:lang w:val="en-US"/>
        </w:rPr>
        <w:t>. The analys</w:t>
      </w:r>
      <w:r w:rsidR="00B73452">
        <w:rPr>
          <w:rFonts w:eastAsia="Calibri" w:cs="Arial"/>
          <w:lang w:val="en-US"/>
        </w:rPr>
        <w:t>e</w:t>
      </w:r>
      <w:r w:rsidRPr="00A07F2D">
        <w:rPr>
          <w:rFonts w:eastAsia="Calibri" w:cs="Arial"/>
          <w:lang w:val="en-US"/>
        </w:rPr>
        <w:t xml:space="preserve">s </w:t>
      </w:r>
      <w:r>
        <w:rPr>
          <w:rFonts w:eastAsia="Calibri" w:cs="Arial"/>
          <w:lang w:val="en-US"/>
        </w:rPr>
        <w:t xml:space="preserve">examine the </w:t>
      </w:r>
      <w:r w:rsidRPr="00405C85">
        <w:rPr>
          <w:rFonts w:eastAsia="Calibri" w:cs="Arial"/>
          <w:lang w:val="en-US"/>
        </w:rPr>
        <w:t>importance of the Baltic Sea marine environment to society,</w:t>
      </w:r>
      <w:r>
        <w:rPr>
          <w:rFonts w:eastAsia="Calibri" w:cs="Arial"/>
          <w:lang w:val="en-US"/>
        </w:rPr>
        <w:t xml:space="preserve"> </w:t>
      </w:r>
      <w:r w:rsidRPr="00A07F2D">
        <w:rPr>
          <w:rFonts w:eastAsia="Calibri" w:cs="Arial"/>
          <w:lang w:val="en-US"/>
        </w:rPr>
        <w:t>cover</w:t>
      </w:r>
      <w:r>
        <w:rPr>
          <w:rFonts w:eastAsia="Calibri" w:cs="Arial"/>
          <w:lang w:val="en-US"/>
        </w:rPr>
        <w:t>ing</w:t>
      </w:r>
      <w:r w:rsidRPr="00A07F2D">
        <w:rPr>
          <w:rFonts w:eastAsia="Calibri" w:cs="Arial"/>
          <w:lang w:val="en-US"/>
        </w:rPr>
        <w:t xml:space="preserve"> </w:t>
      </w:r>
      <w:r w:rsidRPr="001A504B">
        <w:rPr>
          <w:rFonts w:eastAsia="Calibri" w:cs="Arial"/>
          <w:lang w:val="en-US"/>
        </w:rPr>
        <w:t xml:space="preserve">the </w:t>
      </w:r>
      <w:r>
        <w:rPr>
          <w:rFonts w:eastAsia="Calibri" w:cs="Arial"/>
          <w:lang w:val="en-US"/>
        </w:rPr>
        <w:t xml:space="preserve">contribution of marine activities on the economy and human welfare, and the impacts on human well-being from the </w:t>
      </w:r>
      <w:r w:rsidRPr="001A504B">
        <w:rPr>
          <w:rFonts w:eastAsia="Calibri" w:cs="Arial"/>
          <w:lang w:val="en-US"/>
        </w:rPr>
        <w:t xml:space="preserve">degradation of the marine environment. </w:t>
      </w:r>
    </w:p>
    <w:p w:rsidR="004B59CC" w:rsidRDefault="0080613C" w:rsidP="0099363B">
      <w:pPr>
        <w:jc w:val="both"/>
        <w:rPr>
          <w:lang w:val="en-US"/>
        </w:rPr>
      </w:pPr>
      <w:r>
        <w:rPr>
          <w:lang w:val="en-US"/>
        </w:rPr>
        <w:t xml:space="preserve">The </w:t>
      </w:r>
      <w:r w:rsidR="00CD5383">
        <w:rPr>
          <w:lang w:val="en-US"/>
        </w:rPr>
        <w:t xml:space="preserve">first </w:t>
      </w:r>
      <w:r>
        <w:rPr>
          <w:lang w:val="en-US"/>
        </w:rPr>
        <w:t>results show</w:t>
      </w:r>
      <w:r w:rsidR="00B73452">
        <w:rPr>
          <w:lang w:val="en-US"/>
        </w:rPr>
        <w:t>, for example,</w:t>
      </w:r>
      <w:r>
        <w:rPr>
          <w:lang w:val="en-US"/>
        </w:rPr>
        <w:t xml:space="preserve"> that if the good environmental status of the Baltic Sea is not reached </w:t>
      </w:r>
      <w:r w:rsidR="00B73452">
        <w:rPr>
          <w:lang w:val="en-US"/>
        </w:rPr>
        <w:t xml:space="preserve">with regard to eutrophication, </w:t>
      </w:r>
      <w:r>
        <w:rPr>
          <w:lang w:val="en-US"/>
        </w:rPr>
        <w:t>the annual welfare losses for citizens can range up to 4000 million euros</w:t>
      </w:r>
      <w:r w:rsidR="00B73452">
        <w:rPr>
          <w:lang w:val="en-US"/>
        </w:rPr>
        <w:t xml:space="preserve"> annually</w:t>
      </w:r>
      <w:r>
        <w:rPr>
          <w:lang w:val="en-US"/>
        </w:rPr>
        <w:t>.</w:t>
      </w:r>
    </w:p>
    <w:p w:rsidR="0080613C" w:rsidRPr="00905684" w:rsidRDefault="0080613C" w:rsidP="0099363B">
      <w:pPr>
        <w:jc w:val="both"/>
        <w:rPr>
          <w:lang w:val="en-US"/>
        </w:rPr>
      </w:pPr>
      <w:r>
        <w:rPr>
          <w:lang w:val="en-US"/>
        </w:rPr>
        <w:t xml:space="preserve">The panelists appreciated the ground-breaking work </w:t>
      </w:r>
      <w:r w:rsidR="00CD5383">
        <w:rPr>
          <w:lang w:val="en-US"/>
        </w:rPr>
        <w:t>for the State of the Baltic Sea report</w:t>
      </w:r>
      <w:r>
        <w:rPr>
          <w:lang w:val="en-US"/>
        </w:rPr>
        <w:t xml:space="preserve"> on economic and social analysis</w:t>
      </w:r>
      <w:r w:rsidR="00D97E20">
        <w:rPr>
          <w:lang w:val="en-US"/>
        </w:rPr>
        <w:t xml:space="preserve"> and</w:t>
      </w:r>
      <w:r>
        <w:rPr>
          <w:lang w:val="en-US"/>
        </w:rPr>
        <w:t xml:space="preserve"> agreed that it is important to continue the work by developing the methods and </w:t>
      </w:r>
      <w:r w:rsidR="00D97E20">
        <w:rPr>
          <w:lang w:val="en-US"/>
        </w:rPr>
        <w:t>gaining more background data.</w:t>
      </w:r>
    </w:p>
    <w:sectPr w:rsidR="0080613C" w:rsidRPr="0090568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84"/>
    <w:rsid w:val="00094057"/>
    <w:rsid w:val="0017402E"/>
    <w:rsid w:val="001B3CB1"/>
    <w:rsid w:val="00273AB2"/>
    <w:rsid w:val="003F1C50"/>
    <w:rsid w:val="004903A4"/>
    <w:rsid w:val="004B59CC"/>
    <w:rsid w:val="00530C00"/>
    <w:rsid w:val="005B5894"/>
    <w:rsid w:val="007172C0"/>
    <w:rsid w:val="00742ED8"/>
    <w:rsid w:val="0080613C"/>
    <w:rsid w:val="008C6C7E"/>
    <w:rsid w:val="00905684"/>
    <w:rsid w:val="0099363B"/>
    <w:rsid w:val="00B73452"/>
    <w:rsid w:val="00CD5383"/>
    <w:rsid w:val="00D97E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5684"/>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53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5383"/>
    <w:rPr>
      <w:rFonts w:ascii="Segoe UI" w:hAnsi="Segoe UI" w:cs="Segoe UI"/>
      <w:sz w:val="18"/>
      <w:szCs w:val="18"/>
    </w:rPr>
  </w:style>
  <w:style w:type="character" w:styleId="Kommentarzeichen">
    <w:name w:val="annotation reference"/>
    <w:basedOn w:val="Absatz-Standardschriftart"/>
    <w:uiPriority w:val="99"/>
    <w:semiHidden/>
    <w:unhideWhenUsed/>
    <w:rsid w:val="004903A4"/>
    <w:rPr>
      <w:sz w:val="16"/>
      <w:szCs w:val="16"/>
    </w:rPr>
  </w:style>
  <w:style w:type="paragraph" w:styleId="Kommentartext">
    <w:name w:val="annotation text"/>
    <w:basedOn w:val="Standard"/>
    <w:link w:val="KommentartextZchn"/>
    <w:uiPriority w:val="99"/>
    <w:semiHidden/>
    <w:unhideWhenUsed/>
    <w:rsid w:val="004903A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03A4"/>
    <w:rPr>
      <w:sz w:val="20"/>
      <w:szCs w:val="20"/>
    </w:rPr>
  </w:style>
  <w:style w:type="paragraph" w:styleId="Kommentarthema">
    <w:name w:val="annotation subject"/>
    <w:basedOn w:val="Kommentartext"/>
    <w:next w:val="Kommentartext"/>
    <w:link w:val="KommentarthemaZchn"/>
    <w:uiPriority w:val="99"/>
    <w:semiHidden/>
    <w:unhideWhenUsed/>
    <w:rsid w:val="004903A4"/>
    <w:rPr>
      <w:b/>
      <w:bCs/>
    </w:rPr>
  </w:style>
  <w:style w:type="character" w:customStyle="1" w:styleId="KommentarthemaZchn">
    <w:name w:val="Kommentarthema Zchn"/>
    <w:basedOn w:val="KommentartextZchn"/>
    <w:link w:val="Kommentarthema"/>
    <w:uiPriority w:val="99"/>
    <w:semiHidden/>
    <w:rsid w:val="004903A4"/>
    <w:rPr>
      <w:b/>
      <w:bCs/>
      <w:sz w:val="20"/>
      <w:szCs w:val="20"/>
    </w:rPr>
  </w:style>
  <w:style w:type="paragraph" w:styleId="Kopfzeile">
    <w:name w:val="header"/>
    <w:basedOn w:val="Standard"/>
    <w:link w:val="KopfzeileZchn"/>
    <w:uiPriority w:val="99"/>
    <w:unhideWhenUsed/>
    <w:rsid w:val="0099363B"/>
    <w:pPr>
      <w:tabs>
        <w:tab w:val="center" w:pos="4513"/>
        <w:tab w:val="right" w:pos="9026"/>
      </w:tabs>
      <w:adjustRightInd w:val="0"/>
      <w:snapToGrid w:val="0"/>
      <w:spacing w:after="0" w:line="240" w:lineRule="auto"/>
    </w:pPr>
    <w:rPr>
      <w:rFonts w:ascii="Calibri" w:eastAsiaTheme="minorEastAsia" w:hAnsi="Calibri" w:cs="Times New Roman"/>
      <w:color w:val="44546A" w:themeColor="text2"/>
      <w:sz w:val="24"/>
      <w:szCs w:val="20"/>
      <w:lang w:val="en-GB" w:eastAsia="zh-CN"/>
    </w:rPr>
  </w:style>
  <w:style w:type="character" w:customStyle="1" w:styleId="KopfzeileZchn">
    <w:name w:val="Kopfzeile Zchn"/>
    <w:basedOn w:val="Absatz-Standardschriftart"/>
    <w:link w:val="Kopfzeile"/>
    <w:uiPriority w:val="99"/>
    <w:rsid w:val="0099363B"/>
    <w:rPr>
      <w:rFonts w:ascii="Calibri" w:eastAsiaTheme="minorEastAsia" w:hAnsi="Calibri" w:cs="Times New Roman"/>
      <w:color w:val="44546A" w:themeColor="text2"/>
      <w:sz w:val="24"/>
      <w:szCs w:val="20"/>
      <w:lang w:val="en-GB" w:eastAsia="zh-CN"/>
    </w:rPr>
  </w:style>
  <w:style w:type="table" w:styleId="Tabellenraster">
    <w:name w:val="Table Grid"/>
    <w:basedOn w:val="NormaleTabelle"/>
    <w:uiPriority w:val="39"/>
    <w:rsid w:val="00993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5684"/>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53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5383"/>
    <w:rPr>
      <w:rFonts w:ascii="Segoe UI" w:hAnsi="Segoe UI" w:cs="Segoe UI"/>
      <w:sz w:val="18"/>
      <w:szCs w:val="18"/>
    </w:rPr>
  </w:style>
  <w:style w:type="character" w:styleId="Kommentarzeichen">
    <w:name w:val="annotation reference"/>
    <w:basedOn w:val="Absatz-Standardschriftart"/>
    <w:uiPriority w:val="99"/>
    <w:semiHidden/>
    <w:unhideWhenUsed/>
    <w:rsid w:val="004903A4"/>
    <w:rPr>
      <w:sz w:val="16"/>
      <w:szCs w:val="16"/>
    </w:rPr>
  </w:style>
  <w:style w:type="paragraph" w:styleId="Kommentartext">
    <w:name w:val="annotation text"/>
    <w:basedOn w:val="Standard"/>
    <w:link w:val="KommentartextZchn"/>
    <w:uiPriority w:val="99"/>
    <w:semiHidden/>
    <w:unhideWhenUsed/>
    <w:rsid w:val="004903A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03A4"/>
    <w:rPr>
      <w:sz w:val="20"/>
      <w:szCs w:val="20"/>
    </w:rPr>
  </w:style>
  <w:style w:type="paragraph" w:styleId="Kommentarthema">
    <w:name w:val="annotation subject"/>
    <w:basedOn w:val="Kommentartext"/>
    <w:next w:val="Kommentartext"/>
    <w:link w:val="KommentarthemaZchn"/>
    <w:uiPriority w:val="99"/>
    <w:semiHidden/>
    <w:unhideWhenUsed/>
    <w:rsid w:val="004903A4"/>
    <w:rPr>
      <w:b/>
      <w:bCs/>
    </w:rPr>
  </w:style>
  <w:style w:type="character" w:customStyle="1" w:styleId="KommentarthemaZchn">
    <w:name w:val="Kommentarthema Zchn"/>
    <w:basedOn w:val="KommentartextZchn"/>
    <w:link w:val="Kommentarthema"/>
    <w:uiPriority w:val="99"/>
    <w:semiHidden/>
    <w:rsid w:val="004903A4"/>
    <w:rPr>
      <w:b/>
      <w:bCs/>
      <w:sz w:val="20"/>
      <w:szCs w:val="20"/>
    </w:rPr>
  </w:style>
  <w:style w:type="paragraph" w:styleId="Kopfzeile">
    <w:name w:val="header"/>
    <w:basedOn w:val="Standard"/>
    <w:link w:val="KopfzeileZchn"/>
    <w:uiPriority w:val="99"/>
    <w:unhideWhenUsed/>
    <w:rsid w:val="0099363B"/>
    <w:pPr>
      <w:tabs>
        <w:tab w:val="center" w:pos="4513"/>
        <w:tab w:val="right" w:pos="9026"/>
      </w:tabs>
      <w:adjustRightInd w:val="0"/>
      <w:snapToGrid w:val="0"/>
      <w:spacing w:after="0" w:line="240" w:lineRule="auto"/>
    </w:pPr>
    <w:rPr>
      <w:rFonts w:ascii="Calibri" w:eastAsiaTheme="minorEastAsia" w:hAnsi="Calibri" w:cs="Times New Roman"/>
      <w:color w:val="44546A" w:themeColor="text2"/>
      <w:sz w:val="24"/>
      <w:szCs w:val="20"/>
      <w:lang w:val="en-GB" w:eastAsia="zh-CN"/>
    </w:rPr>
  </w:style>
  <w:style w:type="character" w:customStyle="1" w:styleId="KopfzeileZchn">
    <w:name w:val="Kopfzeile Zchn"/>
    <w:basedOn w:val="Absatz-Standardschriftart"/>
    <w:link w:val="Kopfzeile"/>
    <w:uiPriority w:val="99"/>
    <w:rsid w:val="0099363B"/>
    <w:rPr>
      <w:rFonts w:ascii="Calibri" w:eastAsiaTheme="minorEastAsia" w:hAnsi="Calibri" w:cs="Times New Roman"/>
      <w:color w:val="44546A" w:themeColor="text2"/>
      <w:sz w:val="24"/>
      <w:szCs w:val="20"/>
      <w:lang w:val="en-GB" w:eastAsia="zh-CN"/>
    </w:rPr>
  </w:style>
  <w:style w:type="table" w:styleId="Tabellenraster">
    <w:name w:val="Table Grid"/>
    <w:basedOn w:val="NormaleTabelle"/>
    <w:uiPriority w:val="39"/>
    <w:rsid w:val="00993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Auswärtiges Amt</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Kaasinen</dc:creator>
  <cp:lastModifiedBy>Bentz, Laura (AA privat)</cp:lastModifiedBy>
  <cp:revision>2</cp:revision>
  <dcterms:created xsi:type="dcterms:W3CDTF">2017-06-30T08:55:00Z</dcterms:created>
  <dcterms:modified xsi:type="dcterms:W3CDTF">2017-06-30T08:55:00Z</dcterms:modified>
</cp:coreProperties>
</file>